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6F47" w14:textId="77777777" w:rsidR="00453D42" w:rsidRPr="00437E97" w:rsidRDefault="001B1D50" w:rsidP="009A091B">
      <w:pPr>
        <w:pStyle w:val="Heading1"/>
        <w:spacing w:after="240" w:line="240" w:lineRule="auto"/>
        <w:ind w:left="806"/>
        <w:rPr>
          <w:color w:val="000000" w:themeColor="text1"/>
        </w:rPr>
      </w:pPr>
      <w:r w:rsidRPr="00437E97">
        <w:rPr>
          <w:color w:val="000000" w:themeColor="text1"/>
        </w:rPr>
        <w:t xml:space="preserve">New Jersey Student Learning Standards for English Language Arts and Student Learning </w:t>
      </w:r>
      <w:r w:rsidR="004B1A57" w:rsidRPr="00437E97">
        <w:rPr>
          <w:color w:val="000000" w:themeColor="text1"/>
        </w:rPr>
        <w:t>Objectives</w:t>
      </w:r>
    </w:p>
    <w:p w14:paraId="7D96C510" w14:textId="760A6990" w:rsidR="00541151" w:rsidRPr="00541151" w:rsidRDefault="00541151" w:rsidP="005411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</w:p>
    <w:p w14:paraId="352EC1F2" w14:textId="38C5212E" w:rsidR="004B1A57" w:rsidRPr="00437E97" w:rsidRDefault="00897D12" w:rsidP="009A091B">
      <w:pPr>
        <w:pStyle w:val="Heading2"/>
        <w:spacing w:after="240" w:line="240" w:lineRule="auto"/>
        <w:ind w:left="806"/>
        <w:rPr>
          <w:b w:val="0"/>
          <w:i/>
          <w:color w:val="000000" w:themeColor="text1"/>
        </w:rPr>
      </w:pPr>
      <w:r w:rsidRPr="00437E97">
        <w:rPr>
          <w:b w:val="0"/>
          <w:i/>
          <w:color w:val="000000" w:themeColor="text1"/>
        </w:rPr>
        <w:t>Grade 1</w:t>
      </w:r>
      <w:r w:rsidR="004B1A57" w:rsidRPr="00437E97">
        <w:rPr>
          <w:b w:val="0"/>
          <w:i/>
          <w:color w:val="000000" w:themeColor="text1"/>
        </w:rPr>
        <w:t xml:space="preserve">– Unit </w:t>
      </w:r>
      <w:r w:rsidR="006C57E2" w:rsidRPr="00437E97">
        <w:rPr>
          <w:b w:val="0"/>
          <w:i/>
          <w:color w:val="000000" w:themeColor="text1"/>
        </w:rPr>
        <w:t>3</w:t>
      </w:r>
      <w:r w:rsidR="002251B8" w:rsidRPr="00437E97">
        <w:rPr>
          <w:b w:val="0"/>
          <w:i/>
          <w:color w:val="000000" w:themeColor="text1"/>
        </w:rPr>
        <w:t>: Reading Literature and Opinion Writing</w:t>
      </w:r>
    </w:p>
    <w:p w14:paraId="289AC6AF" w14:textId="4B5A02FE" w:rsidR="00897D12" w:rsidRPr="00437E97" w:rsidRDefault="00897D12" w:rsidP="009A091B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</w:rPr>
      </w:pPr>
      <w:bookmarkStart w:id="0" w:name="_30j0zll" w:colFirst="0" w:colLast="0"/>
      <w:bookmarkEnd w:id="0"/>
      <w:r w:rsidRPr="00437E97">
        <w:rPr>
          <w:rFonts w:cs="Times New Roman"/>
          <w:b/>
          <w:i w:val="0"/>
          <w:color w:val="000000" w:themeColor="text1"/>
          <w:szCs w:val="24"/>
        </w:rPr>
        <w:t>Rationale</w:t>
      </w:r>
    </w:p>
    <w:p w14:paraId="54C4F75F" w14:textId="66112A52" w:rsidR="00897D12" w:rsidRPr="00437E97" w:rsidRDefault="00897D12" w:rsidP="009A09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E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this third unit, students will continue to develop the prerequisite skills from </w:t>
      </w:r>
      <w:r w:rsidR="002251B8" w:rsidRPr="00437E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previous units. </w:t>
      </w:r>
      <w:r w:rsidRPr="00437E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Students will </w:t>
      </w:r>
      <w:r w:rsidR="002251B8" w:rsidRPr="00437E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learn distinguishing features then </w:t>
      </w:r>
      <w:r w:rsidRPr="00437E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explain the differences between books that tell stories (literature) and books that give information (informational text), while also exploring poetry. </w:t>
      </w:r>
      <w:r w:rsidR="002251B8" w:rsidRPr="00437E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addition, s</w:t>
      </w:r>
      <w:r w:rsidRPr="00437E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tudents will ask and answer questions about key details and identify the main topic of texts and the reasons an author gives to support points in a text. Using literature, they will identify and explain how words contribute to feelings, identify who is telling the story at various parts and compare/contrast characters’ experiences and adventures in stories. In vocabulary, students will make connections between words and their real-life use. They will use sentence-level context to determine the meaning of unknown words. This unit introduces opinion writing, where students will introduce a topic, state their opinion including reasons, and provide a closure. Peer suggestions or questions will encourage students to add detail to their writing. Students will use digital tools, with guidance and support from adults, to produce and publish writing.</w:t>
      </w:r>
    </w:p>
    <w:p w14:paraId="3B916794" w14:textId="77777777" w:rsidR="009A091B" w:rsidRPr="00437E97" w:rsidRDefault="009A091B" w:rsidP="009A09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B2C411" w14:textId="543F5FCC" w:rsidR="00897D12" w:rsidRPr="00437E97" w:rsidRDefault="00897D12" w:rsidP="009A091B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  <w:highlight w:val="white"/>
        </w:rPr>
      </w:pPr>
      <w:r w:rsidRPr="00437E97">
        <w:rPr>
          <w:rFonts w:cs="Times New Roman"/>
          <w:color w:val="000000" w:themeColor="text1"/>
          <w:szCs w:val="24"/>
          <w:highlight w:val="white"/>
        </w:rPr>
        <w:t>Grade 1 – Unit 3, Module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437E97" w:rsidRPr="00437E97" w14:paraId="0B8ADF15" w14:textId="77777777" w:rsidTr="003B407E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6A49BECA" w14:textId="6A2E9DD0" w:rsidR="004476B1" w:rsidRPr="00437E97" w:rsidRDefault="004476B1" w:rsidP="004476B1">
            <w:pPr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37E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6C2B9071" w14:textId="77777777" w:rsidR="004476B1" w:rsidRPr="00437E97" w:rsidRDefault="004476B1" w:rsidP="004476B1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2A29400C" w14:textId="5E512613" w:rsidR="004476B1" w:rsidRPr="00437E97" w:rsidRDefault="004476B1" w:rsidP="004476B1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37E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437E97" w:rsidRPr="00437E97" w14:paraId="7A72CF55" w14:textId="77777777" w:rsidTr="003B407E">
        <w:trPr>
          <w:cantSplit/>
        </w:trPr>
        <w:tc>
          <w:tcPr>
            <w:tcW w:w="6307" w:type="dxa"/>
          </w:tcPr>
          <w:p w14:paraId="699CF07C" w14:textId="728380CF" w:rsidR="004476B1" w:rsidRPr="00437E97" w:rsidRDefault="004476B1" w:rsidP="003B407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RL.1.4.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Identify words and phrases in stories or poems that suggest feelings or appeal to the senses.</w:t>
            </w:r>
          </w:p>
        </w:tc>
        <w:tc>
          <w:tcPr>
            <w:tcW w:w="7474" w:type="dxa"/>
          </w:tcPr>
          <w:p w14:paraId="008BB9ED" w14:textId="77777777" w:rsidR="004476B1" w:rsidRPr="00437E97" w:rsidRDefault="004476B1" w:rsidP="006C32F3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stories and poems use words that describe feelings</w:t>
            </w:r>
          </w:p>
          <w:p w14:paraId="1C3D7315" w14:textId="77777777" w:rsidR="004476B1" w:rsidRPr="00437E97" w:rsidRDefault="004476B1" w:rsidP="006C32F3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stories and poems use words to describe what we can see, hear, smell, taste, or feel</w:t>
            </w:r>
          </w:p>
          <w:p w14:paraId="7A9ECEB0" w14:textId="77777777" w:rsidR="004476B1" w:rsidRPr="00437E97" w:rsidRDefault="004476B1" w:rsidP="006C32F3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words and phrases that describe feelings</w:t>
            </w:r>
          </w:p>
          <w:p w14:paraId="44C2A64E" w14:textId="5A04863E" w:rsidR="004476B1" w:rsidRPr="00437E97" w:rsidRDefault="004476B1" w:rsidP="006C32F3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words and phrases that describe what we can see, hear, smell, taste, or feel</w:t>
            </w:r>
          </w:p>
        </w:tc>
      </w:tr>
      <w:tr w:rsidR="00437E97" w:rsidRPr="00437E97" w14:paraId="3738A48E" w14:textId="77777777" w:rsidTr="003B407E">
        <w:trPr>
          <w:cantSplit/>
        </w:trPr>
        <w:tc>
          <w:tcPr>
            <w:tcW w:w="6307" w:type="dxa"/>
          </w:tcPr>
          <w:p w14:paraId="2188D748" w14:textId="323DD0C1" w:rsidR="004476B1" w:rsidRPr="00437E97" w:rsidRDefault="004476B1" w:rsidP="00447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RI.1.5.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use various text features (e.g., headings, tables of contents, glossaries, electronic menus, icons) to locate key facts or information in a text.</w:t>
            </w:r>
          </w:p>
        </w:tc>
        <w:tc>
          <w:tcPr>
            <w:tcW w:w="7474" w:type="dxa"/>
          </w:tcPr>
          <w:p w14:paraId="6AC73ED4" w14:textId="77777777" w:rsidR="004476B1" w:rsidRPr="00437E97" w:rsidRDefault="004476B1" w:rsidP="006C32F3">
            <w:pPr>
              <w:pStyle w:val="ListParagraph"/>
              <w:widowControl w:val="0"/>
              <w:numPr>
                <w:ilvl w:val="0"/>
                <w:numId w:val="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there are various text features in text</w:t>
            </w:r>
          </w:p>
          <w:p w14:paraId="19B7B21C" w14:textId="78C23A35" w:rsidR="004476B1" w:rsidRPr="00437E97" w:rsidRDefault="004476B1" w:rsidP="006C32F3">
            <w:pPr>
              <w:pStyle w:val="ListParagraph"/>
              <w:widowControl w:val="0"/>
              <w:numPr>
                <w:ilvl w:val="0"/>
                <w:numId w:val="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various text features (e.g., headings, tables of contents, glossaries, electronic menus, icons)</w:t>
            </w:r>
          </w:p>
        </w:tc>
      </w:tr>
      <w:tr w:rsidR="00437E97" w:rsidRPr="00437E97" w14:paraId="607F226A" w14:textId="77777777" w:rsidTr="003B407E">
        <w:trPr>
          <w:cantSplit/>
        </w:trPr>
        <w:tc>
          <w:tcPr>
            <w:tcW w:w="6307" w:type="dxa"/>
          </w:tcPr>
          <w:p w14:paraId="19E4B0C5" w14:textId="77777777" w:rsidR="004476B1" w:rsidRPr="00437E97" w:rsidRDefault="004476B1" w:rsidP="004476B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RF.1.3.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words.</w:t>
            </w:r>
          </w:p>
          <w:p w14:paraId="130DA0E6" w14:textId="6A038DEF" w:rsidR="004476B1" w:rsidRPr="00437E97" w:rsidRDefault="004476B1" w:rsidP="004476B1">
            <w:pPr>
              <w:widowControl w:val="0"/>
              <w:shd w:val="clear" w:color="auto" w:fill="FFFFFF"/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Know final -e and common vowel team conventions for representing long vowel sounds.</w:t>
            </w:r>
          </w:p>
        </w:tc>
        <w:tc>
          <w:tcPr>
            <w:tcW w:w="7474" w:type="dxa"/>
          </w:tcPr>
          <w:p w14:paraId="0CE24BB5" w14:textId="2568FE90" w:rsidR="004476B1" w:rsidRPr="00437E97" w:rsidRDefault="004476B1" w:rsidP="006C32F3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final -e and specific common vowel team conventions represent long vowel sounds</w:t>
            </w:r>
          </w:p>
        </w:tc>
      </w:tr>
      <w:tr w:rsidR="00437E97" w:rsidRPr="00437E97" w14:paraId="11EB5A8E" w14:textId="77777777" w:rsidTr="003B407E">
        <w:trPr>
          <w:cantSplit/>
        </w:trPr>
        <w:tc>
          <w:tcPr>
            <w:tcW w:w="6307" w:type="dxa"/>
          </w:tcPr>
          <w:p w14:paraId="446667BD" w14:textId="77777777" w:rsidR="004476B1" w:rsidRPr="00437E97" w:rsidRDefault="004476B1" w:rsidP="004476B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RF.1.3.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words.</w:t>
            </w:r>
          </w:p>
          <w:p w14:paraId="0858172D" w14:textId="262B6B89" w:rsidR="004476B1" w:rsidRPr="00437E97" w:rsidRDefault="004476B1" w:rsidP="004476B1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Distinguish long and short vowels when reading regularly spelled one-syllable words. </w:t>
            </w:r>
          </w:p>
        </w:tc>
        <w:tc>
          <w:tcPr>
            <w:tcW w:w="7474" w:type="dxa"/>
          </w:tcPr>
          <w:p w14:paraId="367DC495" w14:textId="1F6E32EA" w:rsidR="004476B1" w:rsidRPr="00437E97" w:rsidRDefault="004476B1" w:rsidP="006C32F3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distinguish long and short vowels when reading regularly spelled one-syllable words </w:t>
            </w:r>
          </w:p>
        </w:tc>
      </w:tr>
      <w:tr w:rsidR="00437E97" w:rsidRPr="00437E97" w14:paraId="2D34E15F" w14:textId="77777777" w:rsidTr="003B407E">
        <w:trPr>
          <w:cantSplit/>
        </w:trPr>
        <w:tc>
          <w:tcPr>
            <w:tcW w:w="6307" w:type="dxa"/>
          </w:tcPr>
          <w:p w14:paraId="0CFDA593" w14:textId="2E9FE2FE" w:rsidR="004476B1" w:rsidRPr="00437E97" w:rsidRDefault="004476B1" w:rsidP="00447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W.1.1.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Write opinion pieces in which they introduce the topic or name the book they are writing about, state an opinion, supply a reason for the opinion, and provide some sense of closure.</w:t>
            </w:r>
          </w:p>
        </w:tc>
        <w:tc>
          <w:tcPr>
            <w:tcW w:w="7474" w:type="dxa"/>
          </w:tcPr>
          <w:p w14:paraId="4F60681E" w14:textId="39F17D76" w:rsidR="004476B1" w:rsidRPr="00437E97" w:rsidRDefault="004476B1" w:rsidP="006C32F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opinion pieces name a topic and state an opinion</w:t>
            </w:r>
            <w:r w:rsidR="00517A92"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 provide a reason for that opinion</w:t>
            </w:r>
          </w:p>
          <w:p w14:paraId="00A180E9" w14:textId="77777777" w:rsidR="004476B1" w:rsidRPr="00437E97" w:rsidRDefault="004476B1" w:rsidP="006C32F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introduce a topic or name a book we are writing about</w:t>
            </w:r>
          </w:p>
          <w:p w14:paraId="78A7FB5F" w14:textId="77777777" w:rsidR="004476B1" w:rsidRPr="00437E97" w:rsidRDefault="004476B1" w:rsidP="006C32F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state an opinion about a topic</w:t>
            </w:r>
          </w:p>
          <w:p w14:paraId="7BAE4629" w14:textId="77777777" w:rsidR="00517A92" w:rsidRPr="00437E97" w:rsidRDefault="004476B1" w:rsidP="006C32F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supply a reason for the opinion</w:t>
            </w:r>
          </w:p>
          <w:p w14:paraId="79C59D6A" w14:textId="67C67C04" w:rsidR="004476B1" w:rsidRPr="00437E97" w:rsidRDefault="004476B1" w:rsidP="006C32F3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 a sense of closure</w:t>
            </w:r>
          </w:p>
        </w:tc>
      </w:tr>
    </w:tbl>
    <w:p w14:paraId="0458EF7F" w14:textId="77777777" w:rsidR="0041496F" w:rsidRPr="00437E97" w:rsidRDefault="0041496F" w:rsidP="0041496F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9CD916" w14:textId="3E2233DB" w:rsidR="0041496F" w:rsidRPr="00437E97" w:rsidRDefault="0041496F" w:rsidP="00C86CD2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  <w:highlight w:val="white"/>
        </w:rPr>
      </w:pPr>
      <w:r w:rsidRPr="00437E97">
        <w:rPr>
          <w:rFonts w:cs="Times New Roman"/>
          <w:color w:val="000000" w:themeColor="text1"/>
          <w:szCs w:val="24"/>
          <w:highlight w:val="white"/>
        </w:rPr>
        <w:t>Grade 1 – Unit 3, Module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437E97" w:rsidRPr="00437E97" w14:paraId="690E9734" w14:textId="77777777" w:rsidTr="00437E97">
        <w:trPr>
          <w:trHeight w:val="662"/>
          <w:tblHeader/>
        </w:trPr>
        <w:tc>
          <w:tcPr>
            <w:tcW w:w="6307" w:type="dxa"/>
            <w:shd w:val="clear" w:color="auto" w:fill="FFFF00"/>
          </w:tcPr>
          <w:p w14:paraId="3ECFB5C2" w14:textId="04D302B2" w:rsidR="00C86CD2" w:rsidRPr="00437E97" w:rsidRDefault="00C86CD2" w:rsidP="00C86CD2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2F92F295" w14:textId="77777777" w:rsidR="00C86CD2" w:rsidRPr="00437E97" w:rsidRDefault="00C86CD2" w:rsidP="00C86CD2">
            <w:pPr>
              <w:pStyle w:val="ListParagraph"/>
              <w:widowControl w:val="0"/>
              <w:ind w:left="5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417CBA94" w14:textId="337117E5" w:rsidR="00C86CD2" w:rsidRPr="00437E97" w:rsidRDefault="00C86CD2" w:rsidP="00C86CD2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437E97" w:rsidRPr="00437E97" w14:paraId="40AE4D37" w14:textId="77777777" w:rsidTr="00C86CD2">
        <w:tc>
          <w:tcPr>
            <w:tcW w:w="6307" w:type="dxa"/>
          </w:tcPr>
          <w:p w14:paraId="6FCBA51E" w14:textId="65B9DAFE" w:rsidR="00C86CD2" w:rsidRPr="00437E97" w:rsidRDefault="00C86CD2" w:rsidP="00C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W.1.6.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guidance and support from adults, use a variety of digital tools to produce and publish writing, including in collaboration with peers.</w:t>
            </w:r>
          </w:p>
        </w:tc>
        <w:tc>
          <w:tcPr>
            <w:tcW w:w="7474" w:type="dxa"/>
          </w:tcPr>
          <w:p w14:paraId="31082A43" w14:textId="77777777" w:rsidR="00C86CD2" w:rsidRPr="00437E97" w:rsidRDefault="00C86CD2" w:rsidP="006C32F3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 and through collaboration with peers, digital tools can help us produce and publish writing</w:t>
            </w:r>
          </w:p>
          <w:p w14:paraId="413C6D11" w14:textId="77777777" w:rsidR="00C86CD2" w:rsidRPr="00437E97" w:rsidRDefault="00C86CD2" w:rsidP="006C32F3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 variety of digital tools to produce and publish writing, with guidance and support</w:t>
            </w:r>
          </w:p>
          <w:p w14:paraId="728A5A12" w14:textId="4631035C" w:rsidR="00C86CD2" w:rsidRPr="00437E97" w:rsidRDefault="00C86CD2" w:rsidP="006C32F3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collaborate with peers to produce and publish writing</w:t>
            </w:r>
          </w:p>
        </w:tc>
      </w:tr>
      <w:tr w:rsidR="00437E97" w:rsidRPr="00437E97" w14:paraId="2B8FAD89" w14:textId="77777777" w:rsidTr="00C86CD2">
        <w:tc>
          <w:tcPr>
            <w:tcW w:w="6307" w:type="dxa"/>
          </w:tcPr>
          <w:p w14:paraId="1BB54B34" w14:textId="77777777" w:rsidR="00C86CD2" w:rsidRPr="00437E97" w:rsidRDefault="00C86CD2" w:rsidP="00C86C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L.1.1. 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79D50760" w14:textId="5E556C25" w:rsidR="00C86CD2" w:rsidRPr="00437E97" w:rsidRDefault="00C86CD2" w:rsidP="00C86CD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Use common, proper, and possessive nouns.</w:t>
            </w:r>
          </w:p>
        </w:tc>
        <w:tc>
          <w:tcPr>
            <w:tcW w:w="7474" w:type="dxa"/>
          </w:tcPr>
          <w:p w14:paraId="7C88EA41" w14:textId="61E4FCFA" w:rsidR="00C86CD2" w:rsidRPr="00437E97" w:rsidRDefault="00C86CD2" w:rsidP="006C32F3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common, proper and possessive nouns</w:t>
            </w:r>
          </w:p>
        </w:tc>
      </w:tr>
      <w:tr w:rsidR="00437E97" w:rsidRPr="00437E97" w14:paraId="2CA43B19" w14:textId="77777777" w:rsidTr="00C86CD2">
        <w:tc>
          <w:tcPr>
            <w:tcW w:w="6307" w:type="dxa"/>
          </w:tcPr>
          <w:p w14:paraId="07F11A09" w14:textId="77777777" w:rsidR="00C86CD2" w:rsidRPr="00437E97" w:rsidRDefault="00C86CD2" w:rsidP="00C86C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L.1.1. 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4201263A" w14:textId="5C091EC6" w:rsidR="00C86CD2" w:rsidRPr="00437E97" w:rsidRDefault="00C86CD2" w:rsidP="00C86CD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 Use frequently occurring prepositions (e.g., during, beyond, toward).</w:t>
            </w:r>
          </w:p>
        </w:tc>
        <w:tc>
          <w:tcPr>
            <w:tcW w:w="7474" w:type="dxa"/>
          </w:tcPr>
          <w:p w14:paraId="41246785" w14:textId="40977771" w:rsidR="00C86CD2" w:rsidRPr="00437E97" w:rsidRDefault="00C86CD2" w:rsidP="006C32F3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frequently occurring prepositions</w:t>
            </w:r>
          </w:p>
        </w:tc>
      </w:tr>
      <w:tr w:rsidR="00437E97" w:rsidRPr="00437E97" w14:paraId="64EAB0DF" w14:textId="77777777" w:rsidTr="00C86CD2">
        <w:tc>
          <w:tcPr>
            <w:tcW w:w="6307" w:type="dxa"/>
          </w:tcPr>
          <w:p w14:paraId="5A843789" w14:textId="77777777" w:rsidR="00C86CD2" w:rsidRPr="00437E97" w:rsidRDefault="00C86CD2" w:rsidP="00C86C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L.1.1. 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Demonstrate command of the conventions of standard English grammar and usage when writing or speaking. </w:t>
            </w:r>
          </w:p>
          <w:p w14:paraId="337C097F" w14:textId="282E5585" w:rsidR="00C86CD2" w:rsidRPr="00437E97" w:rsidRDefault="00C86CD2" w:rsidP="00C86CD2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Produce and expand complete simple and compound declarative, interrogative, imperative, and exclamatory sentences in response to prompts.</w:t>
            </w:r>
          </w:p>
        </w:tc>
        <w:tc>
          <w:tcPr>
            <w:tcW w:w="7474" w:type="dxa"/>
          </w:tcPr>
          <w:p w14:paraId="388517B1" w14:textId="770810F6" w:rsidR="00C86CD2" w:rsidRPr="00437E97" w:rsidRDefault="00C86CD2" w:rsidP="006C32F3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produce and expand complete simple and compound declarative, interrogative, imperative, and exclamatory sentences in response to prompts</w:t>
            </w:r>
            <w:bookmarkStart w:id="1" w:name="_GoBack"/>
            <w:bookmarkEnd w:id="1"/>
          </w:p>
        </w:tc>
      </w:tr>
      <w:tr w:rsidR="00437E97" w:rsidRPr="00437E97" w14:paraId="5BCC1786" w14:textId="77777777" w:rsidTr="00C86CD2">
        <w:tc>
          <w:tcPr>
            <w:tcW w:w="6307" w:type="dxa"/>
          </w:tcPr>
          <w:p w14:paraId="4A519282" w14:textId="77777777" w:rsidR="00C86CD2" w:rsidRPr="00437E97" w:rsidRDefault="00C86CD2" w:rsidP="00C86C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L.1.2. 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Demonstrate command of the conventions of standard English capitalization, punctuation, and spelling when writing. </w:t>
            </w:r>
          </w:p>
          <w:p w14:paraId="1A905778" w14:textId="464530D1" w:rsidR="00C86CD2" w:rsidRPr="00437E97" w:rsidRDefault="00C86CD2" w:rsidP="00C86CD2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D. Use conventional spelling for words with common spelling patterns and for frequently occurring irregular words.</w:t>
            </w:r>
          </w:p>
        </w:tc>
        <w:tc>
          <w:tcPr>
            <w:tcW w:w="7474" w:type="dxa"/>
          </w:tcPr>
          <w:p w14:paraId="2E78651F" w14:textId="1FFF7CBA" w:rsidR="00C86CD2" w:rsidRPr="00437E97" w:rsidRDefault="00C86CD2" w:rsidP="006C32F3">
            <w:pPr>
              <w:pStyle w:val="ListParagraph"/>
              <w:numPr>
                <w:ilvl w:val="0"/>
                <w:numId w:val="10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use conventional spelling for words with common spelling patterns and for frequently occurring irregular words</w:t>
            </w:r>
          </w:p>
        </w:tc>
      </w:tr>
      <w:tr w:rsidR="00437E97" w:rsidRPr="00437E97" w14:paraId="4A65B99A" w14:textId="77777777" w:rsidTr="00E24A7E">
        <w:tc>
          <w:tcPr>
            <w:tcW w:w="6307" w:type="dxa"/>
          </w:tcPr>
          <w:p w14:paraId="768A6A92" w14:textId="77777777" w:rsidR="00E24A7E" w:rsidRPr="00437E97" w:rsidRDefault="00E24A7E" w:rsidP="00E24A7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L.1.2. 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Demonstrate command of the conventions of standard English capitalization, punctuation, and spelling when writing. </w:t>
            </w:r>
          </w:p>
          <w:p w14:paraId="3FAF5189" w14:textId="44A1B57D" w:rsidR="00E24A7E" w:rsidRPr="00437E97" w:rsidRDefault="00E24A7E" w:rsidP="00E24A7E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Spell untaught words phonetically, drawing on phonemic awareness and spelling conventions.</w:t>
            </w:r>
          </w:p>
        </w:tc>
        <w:tc>
          <w:tcPr>
            <w:tcW w:w="7474" w:type="dxa"/>
          </w:tcPr>
          <w:p w14:paraId="505710A3" w14:textId="77777777" w:rsidR="00E24A7E" w:rsidRPr="00437E97" w:rsidRDefault="00E24A7E" w:rsidP="006C32F3">
            <w:pPr>
              <w:pStyle w:val="ListParagraph"/>
              <w:numPr>
                <w:ilvl w:val="0"/>
                <w:numId w:val="11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spell untaught words phonetically, drawing on phonemic awareness and spelling conventions</w:t>
            </w:r>
          </w:p>
          <w:p w14:paraId="43D7D727" w14:textId="10E22FF9" w:rsidR="00437E97" w:rsidRPr="00437E97" w:rsidRDefault="00437E97" w:rsidP="00437E9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7E97" w:rsidRPr="00437E97" w14:paraId="0CC4A820" w14:textId="77777777" w:rsidTr="00875CFD">
        <w:tc>
          <w:tcPr>
            <w:tcW w:w="6307" w:type="dxa"/>
          </w:tcPr>
          <w:p w14:paraId="27D4288D" w14:textId="77777777" w:rsidR="00875CFD" w:rsidRPr="00437E97" w:rsidRDefault="00F55E66" w:rsidP="0087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L.1.4.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Determine or clarify the meaning of unknown and multiple-meaning words and phrases based on grade 1 reading and content, choosing flexibly from an array of strategies.</w:t>
            </w:r>
          </w:p>
          <w:p w14:paraId="3B8E18E5" w14:textId="0066DFE1" w:rsidR="00F55E66" w:rsidRPr="00437E97" w:rsidRDefault="00875CFD" w:rsidP="003B4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F55E66"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sentence-level context as a clue to the meaning of a word or phrase.</w:t>
            </w:r>
          </w:p>
        </w:tc>
        <w:tc>
          <w:tcPr>
            <w:tcW w:w="7474" w:type="dxa"/>
          </w:tcPr>
          <w:p w14:paraId="53EA47A4" w14:textId="77777777" w:rsidR="00875CFD" w:rsidRPr="00437E97" w:rsidRDefault="00F55E66" w:rsidP="006C32F3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  <w:p w14:paraId="4425552B" w14:textId="77777777" w:rsidR="00875CFD" w:rsidRPr="00437E97" w:rsidRDefault="00F55E66" w:rsidP="006C32F3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in grade 1 reading and content, choosing from various strategie</w:t>
            </w:r>
            <w:r w:rsidR="00875CFD"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  <w:p w14:paraId="555DDBC3" w14:textId="374E913C" w:rsidR="00F55E66" w:rsidRPr="00437E97" w:rsidRDefault="00875CFD" w:rsidP="006C32F3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55E66"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 context clues to determine the meaning of a word or phrase</w:t>
            </w:r>
          </w:p>
        </w:tc>
      </w:tr>
      <w:tr w:rsidR="00437E97" w:rsidRPr="00437E97" w14:paraId="54D8AF0D" w14:textId="77777777" w:rsidTr="00875CFD">
        <w:tc>
          <w:tcPr>
            <w:tcW w:w="6307" w:type="dxa"/>
          </w:tcPr>
          <w:p w14:paraId="29194043" w14:textId="77777777" w:rsidR="00875CFD" w:rsidRPr="00437E97" w:rsidRDefault="00875CFD" w:rsidP="00875CF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L.1.4.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Determine or clarify the meaning of unknown and multiple-meaning words and phrases based on </w:t>
            </w:r>
            <w:r w:rsidRPr="00437E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 1 reading and content</w:t>
            </w: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choosing flexibly from an array of strategies. </w:t>
            </w:r>
          </w:p>
          <w:p w14:paraId="61B10A05" w14:textId="11C28AA7" w:rsidR="00875CFD" w:rsidRPr="00437E97" w:rsidRDefault="00875CFD" w:rsidP="0087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Use frequently occurring affixes and inflection (e.g., -ed, -s, - </w:t>
            </w:r>
            <w:proofErr w:type="spellStart"/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</w:t>
            </w:r>
            <w:proofErr w:type="spellEnd"/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re-, un-, pre-, -</w:t>
            </w:r>
            <w:proofErr w:type="spellStart"/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ful</w:t>
            </w:r>
            <w:proofErr w:type="spellEnd"/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-less) as a clue to the meaning of a word.</w:t>
            </w:r>
          </w:p>
        </w:tc>
        <w:tc>
          <w:tcPr>
            <w:tcW w:w="7474" w:type="dxa"/>
          </w:tcPr>
          <w:p w14:paraId="5FDA4D69" w14:textId="4B6CC5B2" w:rsidR="00875CFD" w:rsidRPr="00437E97" w:rsidRDefault="00875CFD" w:rsidP="006C32F3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affixes and inflection as a clue to the meaning of a word</w:t>
            </w:r>
          </w:p>
        </w:tc>
      </w:tr>
    </w:tbl>
    <w:p w14:paraId="412C3851" w14:textId="77777777" w:rsidR="00C86CD2" w:rsidRPr="00437E97" w:rsidRDefault="00C86CD2" w:rsidP="00C86C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D9A12" w14:textId="77777777" w:rsidR="008541C8" w:rsidRPr="00437E97" w:rsidRDefault="008541C8" w:rsidP="0041496F">
      <w:pPr>
        <w:spacing w:line="480" w:lineRule="auto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437E97" w:rsidSect="00437E97">
      <w:headerReference w:type="default" r:id="rId7"/>
      <w:footerReference w:type="default" r:id="rId8"/>
      <w:pgSz w:w="15840" w:h="12240" w:orient="landscape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A145" w14:textId="77777777" w:rsidR="00282316" w:rsidRDefault="00282316" w:rsidP="00282316">
      <w:pPr>
        <w:spacing w:after="0" w:line="240" w:lineRule="auto"/>
      </w:pPr>
      <w:r>
        <w:separator/>
      </w:r>
    </w:p>
  </w:endnote>
  <w:endnote w:type="continuationSeparator" w:id="0">
    <w:p w14:paraId="76080992" w14:textId="77777777" w:rsidR="00282316" w:rsidRDefault="00282316" w:rsidP="0028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858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BE729" w14:textId="2A755D98" w:rsidR="00437E97" w:rsidRDefault="00437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39152B76" w14:textId="77777777" w:rsidR="00541151" w:rsidRDefault="00541151" w:rsidP="00541151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0351AD80" wp14:editId="6F79C191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255487B" w14:textId="614124AB" w:rsidR="00437E97" w:rsidRDefault="00541151" w:rsidP="00541151">
    <w:pPr>
      <w:pStyle w:val="Footer"/>
    </w:pPr>
    <w:r w:rsidRPr="009056BB">
      <w:rPr>
        <w:rFonts w:cs="Times New Roman"/>
      </w:rPr>
      <w:t>Updated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F895" w14:textId="77777777" w:rsidR="00282316" w:rsidRDefault="00282316" w:rsidP="00282316">
      <w:pPr>
        <w:spacing w:after="0" w:line="240" w:lineRule="auto"/>
      </w:pPr>
      <w:r>
        <w:separator/>
      </w:r>
    </w:p>
  </w:footnote>
  <w:footnote w:type="continuationSeparator" w:id="0">
    <w:p w14:paraId="699AD168" w14:textId="77777777" w:rsidR="00282316" w:rsidRDefault="00282316" w:rsidP="0028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CDB1" w14:textId="77777777" w:rsidR="00437E97" w:rsidRPr="00BD4094" w:rsidRDefault="00437E97" w:rsidP="00437E97">
    <w:pPr>
      <w:pStyle w:val="Heading1"/>
      <w:spacing w:after="240" w:line="240" w:lineRule="auto"/>
    </w:pPr>
    <w:r w:rsidRPr="00BD4094">
      <w:t>New Jersey Student Learning Standards for English Language Arts and Student Learning Objectives</w:t>
    </w:r>
  </w:p>
  <w:p w14:paraId="67985E65" w14:textId="3D786A83" w:rsidR="00282316" w:rsidRDefault="00282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BA8"/>
    <w:multiLevelType w:val="hybridMultilevel"/>
    <w:tmpl w:val="EC262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08FE"/>
    <w:multiLevelType w:val="hybridMultilevel"/>
    <w:tmpl w:val="3BE2C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0B5D"/>
    <w:multiLevelType w:val="hybridMultilevel"/>
    <w:tmpl w:val="BAD04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50D8"/>
    <w:multiLevelType w:val="hybridMultilevel"/>
    <w:tmpl w:val="CECAB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642D"/>
    <w:multiLevelType w:val="hybridMultilevel"/>
    <w:tmpl w:val="01E6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03C"/>
    <w:multiLevelType w:val="hybridMultilevel"/>
    <w:tmpl w:val="82544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1338E"/>
    <w:multiLevelType w:val="hybridMultilevel"/>
    <w:tmpl w:val="01E6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35BE1"/>
    <w:multiLevelType w:val="hybridMultilevel"/>
    <w:tmpl w:val="7D246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420CE"/>
    <w:multiLevelType w:val="hybridMultilevel"/>
    <w:tmpl w:val="8B969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72B4"/>
    <w:multiLevelType w:val="hybridMultilevel"/>
    <w:tmpl w:val="78D85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814B7"/>
    <w:multiLevelType w:val="hybridMultilevel"/>
    <w:tmpl w:val="CE820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14399"/>
    <w:multiLevelType w:val="hybridMultilevel"/>
    <w:tmpl w:val="2CF88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E5274"/>
    <w:multiLevelType w:val="hybridMultilevel"/>
    <w:tmpl w:val="7D246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9A"/>
    <w:rsid w:val="00057405"/>
    <w:rsid w:val="00064139"/>
    <w:rsid w:val="0007414F"/>
    <w:rsid w:val="000E63F1"/>
    <w:rsid w:val="000F1813"/>
    <w:rsid w:val="00145C17"/>
    <w:rsid w:val="001B1D50"/>
    <w:rsid w:val="001D4DFE"/>
    <w:rsid w:val="001F265F"/>
    <w:rsid w:val="002251B8"/>
    <w:rsid w:val="00256385"/>
    <w:rsid w:val="00282316"/>
    <w:rsid w:val="0035256B"/>
    <w:rsid w:val="00393F8C"/>
    <w:rsid w:val="003B407E"/>
    <w:rsid w:val="0041496F"/>
    <w:rsid w:val="00437E97"/>
    <w:rsid w:val="004476B1"/>
    <w:rsid w:val="00453D42"/>
    <w:rsid w:val="004A3E47"/>
    <w:rsid w:val="004B1A57"/>
    <w:rsid w:val="004E6D5C"/>
    <w:rsid w:val="00517A92"/>
    <w:rsid w:val="00535219"/>
    <w:rsid w:val="00541151"/>
    <w:rsid w:val="005B643D"/>
    <w:rsid w:val="005E6D9C"/>
    <w:rsid w:val="00617356"/>
    <w:rsid w:val="00625540"/>
    <w:rsid w:val="006775B8"/>
    <w:rsid w:val="006C32F3"/>
    <w:rsid w:val="006C57E2"/>
    <w:rsid w:val="00781BB0"/>
    <w:rsid w:val="008541C8"/>
    <w:rsid w:val="00854E49"/>
    <w:rsid w:val="00875CFD"/>
    <w:rsid w:val="00897D12"/>
    <w:rsid w:val="008C0C70"/>
    <w:rsid w:val="008D0AB5"/>
    <w:rsid w:val="00956954"/>
    <w:rsid w:val="009A091B"/>
    <w:rsid w:val="009A26C6"/>
    <w:rsid w:val="00A96D9A"/>
    <w:rsid w:val="00B11DA7"/>
    <w:rsid w:val="00B623DD"/>
    <w:rsid w:val="00BD00BC"/>
    <w:rsid w:val="00BD4094"/>
    <w:rsid w:val="00BE7A25"/>
    <w:rsid w:val="00C239F0"/>
    <w:rsid w:val="00C272EA"/>
    <w:rsid w:val="00C86CD2"/>
    <w:rsid w:val="00D10817"/>
    <w:rsid w:val="00D371F9"/>
    <w:rsid w:val="00DB341E"/>
    <w:rsid w:val="00E24A7E"/>
    <w:rsid w:val="00E65CC0"/>
    <w:rsid w:val="00EA40FD"/>
    <w:rsid w:val="00F43117"/>
    <w:rsid w:val="00F44FE5"/>
    <w:rsid w:val="00F546D0"/>
    <w:rsid w:val="00F5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3148E"/>
  <w15:docId w15:val="{12C68376-6679-44E8-A6B7-0BBA1034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897D12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16"/>
  </w:style>
  <w:style w:type="paragraph" w:styleId="Footer">
    <w:name w:val="footer"/>
    <w:basedOn w:val="Normal"/>
    <w:link w:val="FooterChar"/>
    <w:uiPriority w:val="99"/>
    <w:unhideWhenUsed/>
    <w:rsid w:val="00437E9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37E9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9A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Leak, Erika</dc:creator>
  <cp:lastModifiedBy>Noehrenberg, Alana</cp:lastModifiedBy>
  <cp:revision>4</cp:revision>
  <cp:lastPrinted>2019-07-18T19:24:00Z</cp:lastPrinted>
  <dcterms:created xsi:type="dcterms:W3CDTF">2019-07-18T20:01:00Z</dcterms:created>
  <dcterms:modified xsi:type="dcterms:W3CDTF">2019-08-14T19:45:00Z</dcterms:modified>
</cp:coreProperties>
</file>